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  <w:jc w:val="left"/>
        <w:rPr>
          <w:rFonts w:ascii="Tahoma" w:hAnsi="Tahoma"/>
          <w:sz w:val="28"/>
        </w:rPr>
      </w:pPr>
      <w:r/>
      <w:r>
        <w:rPr>
          <w:rFonts w:ascii="Tahoma" w:hAnsi="Tahoma"/>
          <w:sz w:val="28"/>
        </w:rPr>
      </w:r>
    </w:p>
    <w:p>
      <w:pPr>
        <w:pStyle w:val="625"/>
        <w:numPr>
          <w:ilvl w:val="0"/>
          <w:numId w:val="0"/>
        </w:numPr>
        <w:ind w:left="0" w:firstLine="0"/>
        <w:jc w:val="center"/>
        <w:outlineLvl w:val="0"/>
      </w:pPr>
      <w:r>
        <w:t xml:space="preserve">ПРАВИТЕЛЬСТВО ЧЕЛЯБИНСКОЙ ОБЛАСТИ</w:t>
      </w:r>
      <w:r/>
    </w:p>
    <w:p>
      <w:pPr>
        <w:pStyle w:val="625"/>
        <w:ind w:left="0" w:firstLine="540"/>
        <w:jc w:val="both"/>
      </w:pPr>
      <w:r/>
      <w:r/>
    </w:p>
    <w:p>
      <w:pPr>
        <w:pStyle w:val="625"/>
        <w:ind w:left="0" w:firstLine="0"/>
        <w:jc w:val="center"/>
      </w:pPr>
      <w:r>
        <w:t xml:space="preserve">ПОСТАНОВЛЕНИЕ</w:t>
      </w:r>
      <w:r/>
    </w:p>
    <w:p>
      <w:pPr>
        <w:pStyle w:val="625"/>
        <w:ind w:left="0" w:firstLine="0"/>
        <w:jc w:val="center"/>
      </w:pPr>
      <w:r>
        <w:t xml:space="preserve">от 19 ноября 2024 г. N 655-П</w:t>
      </w:r>
      <w:r/>
    </w:p>
    <w:p>
      <w:pPr>
        <w:pStyle w:val="625"/>
        <w:ind w:left="0" w:firstLine="540"/>
        <w:jc w:val="both"/>
      </w:pPr>
      <w:r/>
      <w:r/>
    </w:p>
    <w:p>
      <w:pPr>
        <w:pStyle w:val="625"/>
        <w:ind w:left="0" w:firstLine="0"/>
        <w:jc w:val="center"/>
      </w:pPr>
      <w:r>
        <w:t xml:space="preserve">О Порядке предоставления ежемесячной денежной выплаты</w:t>
      </w:r>
      <w:r/>
    </w:p>
    <w:p>
      <w:pPr>
        <w:pStyle w:val="625"/>
        <w:ind w:left="0" w:firstLine="0"/>
        <w:jc w:val="center"/>
      </w:pPr>
      <w:r>
        <w:t xml:space="preserve">на оплату проезда ребенка, обучающегося</w:t>
      </w:r>
      <w:r/>
    </w:p>
    <w:p>
      <w:pPr>
        <w:pStyle w:val="625"/>
        <w:ind w:left="0" w:firstLine="0"/>
        <w:jc w:val="center"/>
      </w:pPr>
      <w:r>
        <w:t xml:space="preserve">в общеобразовательной организации по очной форме обучения,</w:t>
      </w:r>
      <w:r/>
    </w:p>
    <w:p>
      <w:pPr>
        <w:pStyle w:val="625"/>
        <w:ind w:left="0" w:firstLine="0"/>
        <w:jc w:val="center"/>
      </w:pPr>
      <w:r>
        <w:t xml:space="preserve">на автомобильном транспорте (за исключением такси)</w:t>
      </w:r>
      <w:r/>
    </w:p>
    <w:p>
      <w:pPr>
        <w:pStyle w:val="625"/>
        <w:ind w:left="0" w:firstLine="0"/>
        <w:jc w:val="center"/>
      </w:pPr>
      <w:r>
        <w:t xml:space="preserve">в городском и пригородном сообщении, на городском наземном</w:t>
      </w:r>
      <w:r/>
    </w:p>
    <w:p>
      <w:pPr>
        <w:pStyle w:val="625"/>
        <w:ind w:left="0" w:firstLine="0"/>
        <w:jc w:val="center"/>
      </w:pPr>
      <w:r>
        <w:t xml:space="preserve">электрическом транспорте</w:t>
      </w:r>
      <w:r/>
    </w:p>
    <w:p>
      <w:pPr>
        <w:pStyle w:val="623"/>
        <w:ind w:left="0" w:firstLine="0"/>
        <w:jc w:val="both"/>
      </w:pPr>
      <w:r/>
      <w:r/>
    </w:p>
    <w:p>
      <w:pPr>
        <w:pStyle w:val="623"/>
        <w:ind w:left="0" w:firstLine="540"/>
        <w:jc w:val="both"/>
      </w:pPr>
      <w:r>
        <w:t xml:space="preserve">Правительство Челябинской области</w:t>
      </w:r>
      <w:r/>
    </w:p>
    <w:p>
      <w:pPr>
        <w:pStyle w:val="623"/>
        <w:ind w:left="0" w:firstLine="540"/>
        <w:jc w:val="both"/>
        <w:spacing w:before="240" w:after="0"/>
      </w:pPr>
      <w:r>
        <w:t xml:space="preserve">ПОСТАНОВЛЯЕТ:</w:t>
      </w:r>
      <w:r/>
    </w:p>
    <w:p>
      <w:pPr>
        <w:pStyle w:val="623"/>
        <w:ind w:left="0" w:firstLine="0"/>
        <w:jc w:val="both"/>
      </w:pPr>
      <w:r/>
      <w:r/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1. Утвердить прилагаемый </w:t>
      </w:r>
      <w:hyperlink w:tooltip="#Par38" w:anchor="Par38" w:history="1">
        <w:r>
          <w:rPr>
            <w:rFonts w:ascii="Times New Roman" w:hAnsi="Times New Roman" w:eastAsia="Times New Roman" w:cs="Times New Roman"/>
            <w:color w:val="000000" w:themeColor="text1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color w:val="000000" w:themeColor="text1"/>
        </w:rPr>
        <w:t xml:space="preserve"> предоставления ежемеся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чной денежной выплаты на оплату проезда ребенка, обучающегося в общеобразовательной организации по очной форме обучения, на автомобильном транспорте (за исключением такси) в городском и пригородном сообщении, на городском наземном электрическом транспорте.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 Настоящее постановление подлежит официальному опубликованию.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3. Настоящее постановление вступает в силу со дня его официального опубликования, распространяется на правоотношения, возникшие с 1 сентября 2024 года, и действует до 31 июля 2026 года.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Исполняющий обязанности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председателя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Правительства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Челябинской области </w:t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color w:val="000000" w:themeColor="text1"/>
        </w:rPr>
        <w:t xml:space="preserve">И.П.КУЦЕВЛЯК</w:t>
      </w: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right"/>
        <w:rPr>
          <w:rFonts w:ascii="Times New Roman" w:hAnsi="Times New Roman" w:cs="Times New Roman"/>
          <w:color w:val="000000" w:themeColor="text1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Утвержден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Правительства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Челябинской области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от 19 ноября 2024 г. N 655-П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bookmarkStart w:id="0" w:name="Par38"/>
      <w:r>
        <w:rPr>
          <w:rFonts w:ascii="Times New Roman" w:hAnsi="Times New Roman" w:eastAsia="Times New Roman" w:cs="Times New Roman"/>
          <w:color w:val="000000" w:themeColor="text1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</w:rPr>
        <w:t xml:space="preserve">Порядок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предоставления ежемесячной денежной выплаты на оплату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проезда ребенка, обучающегося в общеобразовательной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организации по очной форме обучения, на автомобильном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транспорте (за исключением такси) в городском и пригородном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сообщении, на городском наземном электрическом транспорте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1. Настоящий Порядок предоставления ежемесячной денежной выплаты на оплату проезда ребенка, обучающегося в общеобразовательной организации по очной форме обучения, на автомобильном транспорте (за исключ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ением такси) в городском и пригородном сообщении, на городском наземном электрическом транспорте (далее именуется - Порядок) определяет порядок предоставления в Челябинской области многодетным семьям ежемесячной денежной выплаты на оплату проезда ребенка,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обучающегося в общеобразовательной организации по очной форме обучения, на автомобильном транспорте (за исключением такси) в городском и пригородном сообщении, на городском наземном электрическом транспорте (далее именуется - ежемесячная денежная выплата).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2. Пр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аво на предоставление ежемесячной денежной выплаты в соответствии со статьями 1, 2 Закона Челябинской области от 31.03.2010 г. N 548-ЗО "О статусе и дополнительных мерах социальной поддержки многодетной семьи в Челябинской области" (далее именуется - Закон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N 548-ЗО) имеют семьи, имеющие статус многодетной семьи,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области.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3. Ежемесячная денежная выплата в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размере, установленном частью 1-1 статьи 2 Закона N 548-ЗО, предоставляется одному из родителей (законных представителей) (далее именуются - заявители) на совместно проживающего с ним ребенка (детей), обучающегося в общеобразовательной организации по очно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й форме обучения, при условии регистрации членов многодетной семьи по месту жительства на территории Челябинской области или регистрации по месту пребывания на территории Челябинской области в случае отсутствия регистрации по месту жительства на территории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иного субъекта Российской Федерации либо фактического проживания членов указанной семьи на территории Челябинской области, установленного решением суда, в случае отсутствия регистрации по месту жительства на территории иного субъекта Российской Федерации.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4. Заявление о предоставлении ежемесяч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ной денежной выплаты (далее именуется - заявление) подается в органы социальной защиты населения городских округов, муниципальных округов, муниципальных районов Челябинской области (далее именуются - органы социальной защиты) по месту жительства заявителя.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Заявление подается гражданином лично, через его законного представителя или в форме электронного документа в порядке, установ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ленном постановлением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При поступлении заявления в форме электронног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о документа заявителю не позднее следующего рабочего дня со дня получения заявления направляется электронное уведомление о получении его заявления. В электронном уведомлении также указываются перечень документов, обязанность по представлению которых возлож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ена на заявителя, которые необходимо представить в орган социальной защиты, и дата представления указанных документов. Срок представления заявителем документов, обязанность по представлению которых возложена на заявителя, не должен превышать пяти рабочих д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ней со дня получения органом социальной защиты заявления. В случае непредставления документов в течение указанного срока заявитель в течение одного рабочего дня со дня его истечения уведомляется об отказе в рассмотрении заявления с указанием причин отказа.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5. Перечень документов, необходимых для предоставления ежемесячной денежной выплаты, подлежащих представлению заявителем: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1) заявление по форме, утвержденной Министерством социальных отношений Челябинской области (далее именуется - Министерство);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2) документ, удостоверяющий личность заявителя;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3) документы, подтверждающие личность и полномочия представителя заявителя (при обращении представителя заявителя);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4) копия документа, подтверждающего факт рождения и регистрации ребенка, выданного компетентным органом иностранного государства (в случае регистрации записи акта о рождении ребенка (детей) за пределами Российской Федерации);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5) копия документа, подтверждающего факт заключения (расторжения) брака, выданного компетентным органом иностранного государства (в случае регистрации записи акта о заключении (расторжении) брака за пределами Российской Федерации);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6) решение суда, устанавливающее фактическое проживание членов многодетной семьи на территории Челябинской области, в случае отсутствия регистрации по месту жительства на территории иного субъекта Российской Федерации;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7) документ, подтверждающий обучение ребенка (детей), за назначением ежегодной денежной выплаты на которого обращается заявитель, в общеобразовательной организации по очной форме обучения;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8) справка об обучении ребенка старше 18 лет в образовательной организации по очной форме обучения (на ребенка (детей), не достигшего возраста 23 лет);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9) документы (сведения), подтверждающие факт гибели (смерти) одного или нескольких детей, не достигших возраста 23 лет, в рез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из числа военнослужащих, лиц, проходящих службу в войсках национальной гвардии Росс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ийской Федерации и имеющих специальное звание полиции, граждан, пребывающих в добровольческих формированиях, содействующих выполнению задач, возложенных на Вооруженные Силы Российской Федерации, принимающих участие в указанной специальной военной операции;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bookmarkStart w:id="1" w:name="Par61"/>
      <w:r>
        <w:rPr>
          <w:rFonts w:ascii="Times New Roman" w:hAnsi="Times New Roman" w:eastAsia="Times New Roman" w:cs="Times New Roman"/>
          <w:color w:val="000000" w:themeColor="text1"/>
        </w:rPr>
      </w:r>
      <w:bookmarkEnd w:id="1"/>
      <w:r>
        <w:rPr>
          <w:rFonts w:ascii="Times New Roman" w:hAnsi="Times New Roman" w:eastAsia="Times New Roman" w:cs="Times New Roman"/>
          <w:color w:val="000000" w:themeColor="text1"/>
        </w:rPr>
        <w:t xml:space="preserve">10) документы (сведения), подтверждающие доход каждого члена сем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ьи за период, предусмотренный Порядком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детей, утвержденным постановлением Губернатора Челябинско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й области от 02.08.2012 г. N 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детей", для определения среднедушевого дохода семьи: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справка о размере стипендии и и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ных денежных выплат, предусмотренных 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м подготовки научных и научно-педагогических кадров, лицам, обучающимся в духовных образовательных организациях, а также о размере компенсационных выплат указанным категориям граждан в период их нахождения в академическом отпуске по медицинским показаниям;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справка о сумме полученных алиментов либо нотариально удостоверенное соглашение об уплате алиментов;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сведения о доходах сотрудников учреждений и органов уголовно-исполнительной системы Российской Федерации, органов федеральной службы безопасности, органов государственной охраны Российской Федерации, органов внутренних дел Ро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 (за исключением военнослужащих, граждан, пребывающих в добровол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ьческих формированиях,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Федерации);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сведения о размере пен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сии, получаемой лицами, проходящими (проходившими) военную службу, службу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утренних дел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документ (сведения) о размере доходов, полученных заявителем или членами его семьи за пределами Российской Федерации;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11) документ, содержащий сведения о реквизитах счета, открытого в российской кредитной организации на имя заявителя для перечисления ежемесячной денежной выплаты.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</w:r>
      <w:bookmarkStart w:id="2" w:name="Par68"/>
      <w:r>
        <w:rPr>
          <w:rFonts w:ascii="Times New Roman" w:hAnsi="Times New Roman" w:eastAsia="Times New Roman" w:cs="Times New Roman"/>
          <w:color w:val="000000" w:themeColor="text1"/>
        </w:rPr>
      </w:r>
      <w:bookmarkEnd w:id="2"/>
      <w:r>
        <w:rPr>
          <w:rFonts w:ascii="Times New Roman" w:hAnsi="Times New Roman" w:eastAsia="Times New Roman" w:cs="Times New Roman"/>
          <w:color w:val="000000" w:themeColor="text1"/>
        </w:rPr>
        <w:t xml:space="preserve">6. П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еречень документов, необходимых для предоставления ежемесячной денежной выплаты,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1) сведения о рождении ребенка (детей) (за исключением случаев регистрации записи акта о рождении ребенка (детей) за пределами Российской Федерации);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2) сведения, подтверждающие, что члены многод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етной семьи имеют регистрацию по месту жительства на территории Челябинской области или регистрацию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3) сведения о регистрации смерти ребенка (детей), не достигшего возраста 23 лет, погибшего (умершего) в резу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из числа военнослужащих, лиц, проходящих службу в войсках национальной гвардии Росс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ийской Федерации и имеющих специальное звание полиции, граждан, пребывающих в добровольческих формированиях, содействующих выполнению задач, возложенных на Вооруженные Силы Российской Федерации, принимающих участие в указанной специальной военной операции;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4) сведения о заключении (расторжении) брака (за исключением случаев регистрации записи акта о заключении (расторжении) брака за пределами Российской Федерации);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5) выписка (сведения) из решения органа опеки и попечительства об установлении опеки (попечительства) над ребенком (детьми);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6) документы (сведения), подтверждающие доход каждого члена семьи за период, предусмотренный Порядком у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детей, утвержденным постановлением Губернатора Челябинской области от 02.08.2012 г. N 211 "О Поря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детей", для определения среднедушевого дохода семьи, за исключением документов, указанных в </w:t>
      </w:r>
      <w:hyperlink w:tooltip="#Par61" w:anchor="Par61" w:history="1">
        <w:r>
          <w:rPr>
            <w:rFonts w:ascii="Times New Roman" w:hAnsi="Times New Roman" w:eastAsia="Times New Roman" w:cs="Times New Roman"/>
            <w:color w:val="000000" w:themeColor="text1"/>
          </w:rPr>
          <w:t xml:space="preserve">подпункте 10 пункта 5</w:t>
        </w:r>
      </w:hyperlink>
      <w:r>
        <w:rPr>
          <w:rFonts w:ascii="Times New Roman" w:hAnsi="Times New Roman" w:eastAsia="Times New Roman" w:cs="Times New Roman"/>
          <w:color w:val="000000" w:themeColor="text1"/>
        </w:rPr>
        <w:t xml:space="preserve"> настоящего Порядка.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7. Документы, указанные в </w:t>
      </w:r>
      <w:hyperlink w:tooltip="#Par68" w:anchor="Par68" w:history="1">
        <w:r>
          <w:rPr>
            <w:rFonts w:ascii="Times New Roman" w:hAnsi="Times New Roman" w:eastAsia="Times New Roman" w:cs="Times New Roman"/>
            <w:color w:val="000000" w:themeColor="text1"/>
          </w:rPr>
          <w:t xml:space="preserve">пункте 6</w:t>
        </w:r>
      </w:hyperlink>
      <w:r>
        <w:rPr>
          <w:rFonts w:ascii="Times New Roman" w:hAnsi="Times New Roman" w:eastAsia="Times New Roman" w:cs="Times New Roman"/>
          <w:color w:val="000000" w:themeColor="text1"/>
        </w:rPr>
        <w:t xml:space="preserve"> настоящего Порядка, запрашиваются органами социальной защиты в рамках межведомственного информационного взаимодействия, в том числе в электронной форме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 соблюдением законодательства Российской Федерации в области защиты персональных данных.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Заявители вправе самостоятельно по собственной инициативе представить документы, указанные в </w:t>
      </w:r>
      <w:hyperlink w:tooltip="#Par68" w:anchor="Par68" w:history="1">
        <w:r>
          <w:rPr>
            <w:rFonts w:ascii="Times New Roman" w:hAnsi="Times New Roman" w:eastAsia="Times New Roman" w:cs="Times New Roman"/>
            <w:color w:val="000000" w:themeColor="text1"/>
          </w:rPr>
          <w:t xml:space="preserve">пункте 6</w:t>
        </w:r>
      </w:hyperlink>
      <w:r>
        <w:rPr>
          <w:rFonts w:ascii="Times New Roman" w:hAnsi="Times New Roman" w:eastAsia="Times New Roman" w:cs="Times New Roman"/>
          <w:color w:val="000000" w:themeColor="text1"/>
        </w:rPr>
        <w:t xml:space="preserve"> настоящего Порядка, в орган социальной защиты.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8. Ра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счет среднедушевого дохода многодетной семьи производится в соответствии с Порядком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детей, утвер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жденным постановлением Губернатора Челябинской области от 02.08.2012 г. N 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детей".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9. Срок для принятия решения о предоставлении ежемесячной денежной выплаты либо об отказе в предоставлении ежемесячной денежной выплаты не может превышать 10 рабочих дней с даты подачи заявления.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Срок принятия решения о предоставлении ежемесячной денежной выплаты либо об отказе в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предоставлении ежемесячной денежной выплаты продлевается на 20 рабочих дней в случае непоступления документов (сведений), необходимых для предоставления ежемесячной денежной выплаты, запрашиваемых в порядке межведомственного информационного взаимодействия.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10. Ежемесячная денежная выплата не предоставляется в следующих случаях: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1) непредставление или представление не в полном объеме заявителем документов, обязанность по представлению которых возложена на заявителя;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2) наличие противоречий в документах, обязанность по представлению которых возложена на заявителя;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3) помещение ребенка, на которого назначается ежемесячная денежная выплата, на полное государственное обеспечение;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4) отсутствие регистрации членов многодетной семьи по месту жительства на территории Челябинской области или регистрации по месту пребывания на территории Челябинской области в случае отсутствия регистрации по месту жительства на территории и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ного субъекта Российской Федерации либо фактического проживания членов многодетной семьи на территории Челябинской области, установленного решением суда, в случае отсутствия регистрации по месту жительства на территории иного субъекта Российской Федерации;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5) завершение ребенком (детьми), за назначением ежемесячной денежной выплаты на которого обращается заявитель, обучения в общеобразовательной организации по очной форме обучения;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6) превышение среднедушевого дохода семьи однократной величины прожиточного минимума для трудоспособного населения, установленной в соответствии с законодательством Челябинской области;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7) лишение (ограничение) заявителя родительских прав;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8) отсутствие (утрата) права на ежемесячную денежную выплату в соответствии с условиями, предусмотренными частью 1-1 статьи 1 Закона N 548-ЗО.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11. Ежемесячная денежная выплата предоставляется: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1) с месяца начала обучения ребенка (детей), за назначением ежегодной денежной выплаты на которого обращается заявитель, в общеобразовательной организации по очной форме об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учения, если заявление подано в орган социальной защиты не позднее трех месяцев с месяца начала обучения ребенка (детей), за назначением ежегодной денежной выплаты на которого обращается заявитель, в общеобразовательной организации по очной форме обучения;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2) с месяца, в котором подано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заявление, при подаче заявления в орган социальной защиты позднее трех месяцев с месяца начала обучения ребенка (детей), за назначением ежемесячной денежной выплаты на которого обращается заявитель, в общеобразовательной организации по очной форме обучения.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Ежемесячная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денежная выплата перечисляется на счет заявителя, открытый в российской кредитной организации, не позднее 26 числа месяца, следующего за месяцем принятия решения о предоставлении ежемесячной денежной выплаты, в дальнейшем - ежемесячно не позднее 26 числа.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12. Расходы на ежемесячную денежную выплату и расходы на оплату банковских услуг по зачислению банками ежемесячной денежной выплаты на лицевые счета заявителей осуществляются из областного бюджета.</w:t>
      </w:r>
      <w:r>
        <w:rPr>
          <w:rFonts w:ascii="Times New Roman" w:hAnsi="Times New Roman" w:eastAsia="Times New Roman" w:cs="Times New Roman"/>
          <w:color w:val="000000" w:themeColor="text1"/>
        </w:rPr>
      </w:r>
    </w:p>
    <w:p>
      <w:pPr>
        <w:pStyle w:val="33"/>
        <w:ind w:left="0" w:right="0" w:firstLine="709"/>
        <w:jc w:val="both"/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Финансирование расходов на оплату банковских услуг по зачислению указанных денежных средств производится в размере 1,5 процента выплаченных сумм без учета налога на добавленную стоимость.</w:t>
      </w:r>
      <w:r/>
    </w:p>
    <w:sectPr>
      <w:footnotePr/>
      <w:endnotePr/>
      <w:type w:val="nextPage"/>
      <w:pgSz w:w="11906" w:h="16838" w:orient="portrait"/>
      <w:pgMar w:top="1100" w:right="850" w:bottom="1100" w:left="1417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32"/>
    <w:uiPriority w:val="99"/>
  </w:style>
  <w:style w:type="character" w:styleId="45">
    <w:name w:val="Footer Char"/>
    <w:basedOn w:val="11"/>
    <w:link w:val="633"/>
    <w:uiPriority w:val="99"/>
  </w:style>
  <w:style w:type="character" w:styleId="47">
    <w:name w:val="Caption Char"/>
    <w:basedOn w:val="621"/>
    <w:link w:val="633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pPr>
      <w:widowControl w:val="off"/>
    </w:pPr>
    <w:rPr>
      <w:rFonts w:ascii="PT Astra Serif" w:hAnsi="PT Astra Serif" w:eastAsia="Tahoma" w:cs="Noto Sans Devanagari"/>
      <w:color w:val="auto"/>
      <w:sz w:val="24"/>
      <w:szCs w:val="24"/>
      <w:lang w:val="ru-RU" w:eastAsia="zh-CN" w:bidi="hi-IN"/>
    </w:rPr>
  </w:style>
  <w:style w:type="character" w:styleId="617">
    <w:name w:val="Hyperlink"/>
    <w:rPr>
      <w:color w:val="000080"/>
      <w:u w:val="single"/>
    </w:rPr>
  </w:style>
  <w:style w:type="paragraph" w:styleId="618">
    <w:name w:val="Заголовок"/>
    <w:basedOn w:val="616"/>
    <w:next w:val="619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19">
    <w:name w:val="Body Text"/>
    <w:basedOn w:val="616"/>
    <w:pPr>
      <w:spacing w:before="0" w:after="140" w:line="276" w:lineRule="auto"/>
    </w:pPr>
  </w:style>
  <w:style w:type="paragraph" w:styleId="620">
    <w:name w:val="List"/>
    <w:basedOn w:val="619"/>
    <w:rPr>
      <w:rFonts w:ascii="PT Astra Serif" w:hAnsi="PT Astra Serif" w:cs="Noto Sans Devanagari"/>
    </w:rPr>
  </w:style>
  <w:style w:type="paragraph" w:styleId="621">
    <w:name w:val="Caption"/>
    <w:basedOn w:val="616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622">
    <w:name w:val="Указатель"/>
    <w:basedOn w:val="616"/>
    <w:qFormat/>
    <w:pPr>
      <w:suppressLineNumbers/>
    </w:pPr>
    <w:rPr>
      <w:rFonts w:ascii="PT Astra Serif" w:hAnsi="PT Astra Serif" w:cs="Noto Sans Devanagari"/>
    </w:rPr>
  </w:style>
  <w:style w:type="paragraph" w:styleId="623">
    <w:name w:val="ConsPlusNormal"/>
    <w:qFormat/>
    <w:pPr>
      <w:widowControl w:val="off"/>
    </w:pPr>
    <w:rPr>
      <w:rFonts w:ascii="Times New Roman" w:hAnsi="Times New Roman" w:eastAsia="Arial" w:cs="Courier New"/>
      <w:b w:val="0"/>
      <w:i w:val="0"/>
      <w:strike w:val="0"/>
      <w:color w:val="auto"/>
      <w:sz w:val="24"/>
      <w:szCs w:val="24"/>
      <w:u w:val="none"/>
      <w:lang w:val="ru-RU" w:eastAsia="zh-CN" w:bidi="hi-IN"/>
    </w:rPr>
  </w:style>
  <w:style w:type="paragraph" w:styleId="624">
    <w:name w:val="ConsPlusNonformat"/>
    <w:qFormat/>
    <w:pPr>
      <w:widowControl w:val="off"/>
    </w:pPr>
    <w:rPr>
      <w:rFonts w:ascii="Courier New" w:hAnsi="Courier New" w:eastAsia="Arial" w:cs="Courier New"/>
      <w:b w:val="0"/>
      <w:i w:val="0"/>
      <w:strike w:val="0"/>
      <w:color w:val="auto"/>
      <w:sz w:val="20"/>
      <w:szCs w:val="24"/>
      <w:u w:val="none"/>
      <w:lang w:val="ru-RU" w:eastAsia="zh-CN" w:bidi="hi-IN"/>
    </w:rPr>
  </w:style>
  <w:style w:type="paragraph" w:styleId="625">
    <w:name w:val="ConsPlusTitle"/>
    <w:qFormat/>
    <w:pPr>
      <w:widowControl w:val="off"/>
    </w:pPr>
    <w:rPr>
      <w:rFonts w:ascii="Arial" w:hAnsi="Arial" w:eastAsia="Arial" w:cs="Courier New"/>
      <w:b/>
      <w:i w:val="0"/>
      <w:strike w:val="0"/>
      <w:color w:val="auto"/>
      <w:sz w:val="24"/>
      <w:szCs w:val="24"/>
      <w:u w:val="none"/>
      <w:lang w:val="ru-RU" w:eastAsia="zh-CN" w:bidi="hi-IN"/>
    </w:rPr>
  </w:style>
  <w:style w:type="paragraph" w:styleId="626">
    <w:name w:val="ConsPlusCell"/>
    <w:qFormat/>
    <w:pPr>
      <w:widowControl w:val="off"/>
    </w:pPr>
    <w:rPr>
      <w:rFonts w:ascii="Courier New" w:hAnsi="Courier New" w:eastAsia="Arial" w:cs="Courier New"/>
      <w:b w:val="0"/>
      <w:i w:val="0"/>
      <w:strike w:val="0"/>
      <w:color w:val="auto"/>
      <w:sz w:val="20"/>
      <w:szCs w:val="24"/>
      <w:u w:val="none"/>
      <w:lang w:val="ru-RU" w:eastAsia="zh-CN" w:bidi="hi-IN"/>
    </w:rPr>
  </w:style>
  <w:style w:type="paragraph" w:styleId="627">
    <w:name w:val="ConsPlusDocList"/>
    <w:qFormat/>
    <w:pPr>
      <w:widowControl w:val="off"/>
    </w:pPr>
    <w:rPr>
      <w:rFonts w:ascii="Tahoma" w:hAnsi="Tahoma" w:eastAsia="Arial" w:cs="Courier New"/>
      <w:b w:val="0"/>
      <w:i w:val="0"/>
      <w:strike w:val="0"/>
      <w:color w:val="auto"/>
      <w:sz w:val="18"/>
      <w:szCs w:val="24"/>
      <w:u w:val="none"/>
      <w:lang w:val="ru-RU" w:eastAsia="zh-CN" w:bidi="hi-IN"/>
    </w:rPr>
  </w:style>
  <w:style w:type="paragraph" w:styleId="628">
    <w:name w:val="ConsPlusTitlePage"/>
    <w:qFormat/>
    <w:pPr>
      <w:widowControl w:val="off"/>
    </w:pPr>
    <w:rPr>
      <w:rFonts w:ascii="Tahoma" w:hAnsi="Tahoma" w:eastAsia="Arial" w:cs="Courier New"/>
      <w:b w:val="0"/>
      <w:i w:val="0"/>
      <w:strike w:val="0"/>
      <w:color w:val="auto"/>
      <w:sz w:val="24"/>
      <w:szCs w:val="24"/>
      <w:u w:val="none"/>
      <w:lang w:val="ru-RU" w:eastAsia="zh-CN" w:bidi="hi-IN"/>
    </w:rPr>
  </w:style>
  <w:style w:type="paragraph" w:styleId="629">
    <w:name w:val="ConsPlusJurTerm"/>
    <w:qFormat/>
    <w:pPr>
      <w:widowControl w:val="off"/>
    </w:pPr>
    <w:rPr>
      <w:rFonts w:ascii="Tahoma" w:hAnsi="Tahoma" w:eastAsia="Arial" w:cs="Courier New"/>
      <w:b w:val="0"/>
      <w:i w:val="0"/>
      <w:strike w:val="0"/>
      <w:color w:val="auto"/>
      <w:sz w:val="26"/>
      <w:szCs w:val="24"/>
      <w:u w:val="none"/>
      <w:lang w:val="ru-RU" w:eastAsia="zh-CN" w:bidi="hi-IN"/>
    </w:rPr>
  </w:style>
  <w:style w:type="paragraph" w:styleId="630">
    <w:name w:val="ConsPlusTextList"/>
    <w:qFormat/>
    <w:pPr>
      <w:widowControl w:val="off"/>
    </w:pPr>
    <w:rPr>
      <w:rFonts w:ascii="Times New Roman" w:hAnsi="Times New Roman" w:eastAsia="Arial" w:cs="Courier New"/>
      <w:b w:val="0"/>
      <w:i w:val="0"/>
      <w:strike w:val="0"/>
      <w:color w:val="auto"/>
      <w:sz w:val="24"/>
      <w:szCs w:val="24"/>
      <w:u w:val="none"/>
      <w:lang w:val="ru-RU" w:eastAsia="zh-CN" w:bidi="hi-IN"/>
    </w:rPr>
  </w:style>
  <w:style w:type="paragraph" w:styleId="631">
    <w:name w:val="Колонтитул"/>
    <w:basedOn w:val="616"/>
    <w:qFormat/>
  </w:style>
  <w:style w:type="paragraph" w:styleId="632">
    <w:name w:val="Header"/>
    <w:basedOn w:val="631"/>
  </w:style>
  <w:style w:type="paragraph" w:styleId="633">
    <w:name w:val="Footer"/>
    <w:basedOn w:val="631"/>
  </w:style>
  <w:style w:type="character" w:styleId="1050" w:default="1">
    <w:name w:val="Default Paragraph Font"/>
    <w:uiPriority w:val="1"/>
    <w:semiHidden/>
    <w:unhideWhenUsed/>
  </w:style>
  <w:style w:type="numbering" w:styleId="1051" w:default="1">
    <w:name w:val="No List"/>
    <w:uiPriority w:val="99"/>
    <w:semiHidden/>
    <w:unhideWhenUsed/>
  </w:style>
  <w:style w:type="table" w:styleId="10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4024.00.30</Company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Челябинской области от 19.11.2024 N 655-П"О Порядке предоставления ежемесячной денежной выплаты на оплату проезда ребенка, обучающегося в общеобразовательной организации по очной форме обучения, на автомобильном транспорте (за исключением такси) в городском и пригородном сообщении, на городском наземном электрическом транспорте"(вместе с "Порядком предоставления ежемесячной денежной выплаты на оплату проезда ребенка, обучающегося в общеобразовательной организации по очной форме</dc:title>
  <dc:subject/>
  <dc:creator/>
  <dc:description/>
  <dc:language>ru-RU</dc:language>
  <cp:lastModifiedBy>pechenkina.rf</cp:lastModifiedBy>
  <cp:revision>3</cp:revision>
  <dcterms:created xsi:type="dcterms:W3CDTF">2024-11-26T15:20:00Z</dcterms:created>
  <dcterms:modified xsi:type="dcterms:W3CDTF">2024-11-26T10:30:15Z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